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1" w:rsidRDefault="00B12871" w:rsidP="00B12871">
      <w:pPr>
        <w:widowControl/>
        <w:spacing w:line="600" w:lineRule="atLeast"/>
        <w:jc w:val="center"/>
        <w:outlineLvl w:val="0"/>
        <w:rPr>
          <w:rFonts w:ascii="华文中宋" w:eastAsia="华文中宋" w:hAnsi="华文中宋" w:cs="宋体"/>
          <w:bCs/>
          <w:color w:val="000000"/>
          <w:kern w:val="36"/>
          <w:sz w:val="40"/>
          <w:szCs w:val="36"/>
        </w:rPr>
      </w:pPr>
    </w:p>
    <w:p w:rsidR="00B12871" w:rsidRDefault="00B12871" w:rsidP="00B12871">
      <w:pPr>
        <w:widowControl/>
        <w:spacing w:line="600" w:lineRule="atLeast"/>
        <w:jc w:val="center"/>
        <w:outlineLvl w:val="0"/>
        <w:rPr>
          <w:rFonts w:ascii="华文中宋" w:eastAsia="华文中宋" w:hAnsi="华文中宋" w:cs="宋体"/>
          <w:bCs/>
          <w:color w:val="000000"/>
          <w:kern w:val="36"/>
          <w:sz w:val="40"/>
          <w:szCs w:val="36"/>
        </w:rPr>
      </w:pPr>
      <w:r w:rsidRPr="00B12871">
        <w:rPr>
          <w:rFonts w:ascii="华文中宋" w:eastAsia="华文中宋" w:hAnsi="华文中宋" w:cs="宋体" w:hint="eastAsia"/>
          <w:bCs/>
          <w:color w:val="000000"/>
          <w:kern w:val="36"/>
          <w:sz w:val="40"/>
          <w:szCs w:val="36"/>
        </w:rPr>
        <w:t>工业和信息化部办公厅</w:t>
      </w:r>
    </w:p>
    <w:p w:rsidR="00B12871" w:rsidRDefault="00B12871" w:rsidP="00B12871">
      <w:pPr>
        <w:widowControl/>
        <w:spacing w:line="600" w:lineRule="atLeast"/>
        <w:jc w:val="center"/>
        <w:outlineLvl w:val="0"/>
        <w:rPr>
          <w:rFonts w:ascii="华文中宋" w:eastAsia="华文中宋" w:hAnsi="华文中宋" w:cs="宋体"/>
          <w:bCs/>
          <w:color w:val="000000"/>
          <w:kern w:val="36"/>
          <w:sz w:val="40"/>
          <w:szCs w:val="36"/>
        </w:rPr>
      </w:pPr>
      <w:r w:rsidRPr="00B12871">
        <w:rPr>
          <w:rFonts w:ascii="华文中宋" w:eastAsia="华文中宋" w:hAnsi="华文中宋" w:cs="宋体" w:hint="eastAsia"/>
          <w:bCs/>
          <w:color w:val="000000"/>
          <w:kern w:val="36"/>
          <w:sz w:val="40"/>
          <w:szCs w:val="36"/>
        </w:rPr>
        <w:t>关于组织开展2020年大数据产业发展</w:t>
      </w:r>
    </w:p>
    <w:p w:rsidR="00B12871" w:rsidRPr="00B12871" w:rsidRDefault="00B12871" w:rsidP="00B12871">
      <w:pPr>
        <w:widowControl/>
        <w:spacing w:line="600" w:lineRule="atLeast"/>
        <w:jc w:val="center"/>
        <w:outlineLvl w:val="0"/>
        <w:rPr>
          <w:rFonts w:ascii="华文中宋" w:eastAsia="华文中宋" w:hAnsi="华文中宋" w:cs="宋体"/>
          <w:bCs/>
          <w:color w:val="000000"/>
          <w:kern w:val="36"/>
          <w:sz w:val="40"/>
          <w:szCs w:val="36"/>
        </w:rPr>
      </w:pPr>
      <w:r w:rsidRPr="00B12871">
        <w:rPr>
          <w:rFonts w:ascii="华文中宋" w:eastAsia="华文中宋" w:hAnsi="华文中宋" w:cs="宋体" w:hint="eastAsia"/>
          <w:bCs/>
          <w:color w:val="000000"/>
          <w:kern w:val="36"/>
          <w:sz w:val="40"/>
          <w:szCs w:val="36"/>
        </w:rPr>
        <w:t>试点示范项目</w:t>
      </w:r>
      <w:bookmarkStart w:id="0" w:name="_GoBack"/>
      <w:bookmarkEnd w:id="0"/>
      <w:r w:rsidRPr="00B12871">
        <w:rPr>
          <w:rFonts w:ascii="华文中宋" w:eastAsia="华文中宋" w:hAnsi="华文中宋" w:cs="宋体" w:hint="eastAsia"/>
          <w:bCs/>
          <w:color w:val="000000"/>
          <w:kern w:val="36"/>
          <w:sz w:val="40"/>
          <w:szCs w:val="36"/>
        </w:rPr>
        <w:t>申报工作的通知</w:t>
      </w:r>
    </w:p>
    <w:p w:rsidR="00B12871" w:rsidRDefault="00B12871" w:rsidP="00B12871">
      <w:pPr>
        <w:widowControl/>
        <w:spacing w:line="390" w:lineRule="atLeast"/>
        <w:jc w:val="center"/>
        <w:rPr>
          <w:rFonts w:ascii="仿宋" w:eastAsia="仿宋" w:hAnsi="仿宋" w:cs="宋体"/>
          <w:color w:val="070707"/>
          <w:kern w:val="0"/>
          <w:sz w:val="32"/>
          <w:szCs w:val="32"/>
        </w:rPr>
      </w:pPr>
    </w:p>
    <w:p w:rsidR="00B12871" w:rsidRPr="00B12871" w:rsidRDefault="00B12871" w:rsidP="00B12871">
      <w:pPr>
        <w:widowControl/>
        <w:spacing w:line="390" w:lineRule="atLeast"/>
        <w:jc w:val="center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工信厅信软函〔</w:t>
      </w:r>
      <w:r w:rsidRPr="00B12871">
        <w:rPr>
          <w:rFonts w:ascii="仿宋" w:eastAsia="仿宋" w:hAnsi="仿宋" w:cs="宋体"/>
          <w:color w:val="070707"/>
          <w:kern w:val="0"/>
          <w:sz w:val="32"/>
          <w:szCs w:val="32"/>
        </w:rPr>
        <w:t>2019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〕</w:t>
      </w:r>
      <w:r w:rsidRPr="00B12871">
        <w:rPr>
          <w:rFonts w:ascii="仿宋" w:eastAsia="仿宋" w:hAnsi="仿宋" w:cs="宋体"/>
          <w:color w:val="070707"/>
          <w:kern w:val="0"/>
          <w:sz w:val="32"/>
          <w:szCs w:val="32"/>
        </w:rPr>
        <w:t>243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号</w:t>
      </w:r>
    </w:p>
    <w:p w:rsidR="00F34337" w:rsidRDefault="00B12871" w:rsidP="00B12871">
      <w:pPr>
        <w:widowControl/>
        <w:spacing w:line="390" w:lineRule="atLeast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B12871">
        <w:rPr>
          <w:rFonts w:ascii="宋体" w:eastAsia="宋体" w:hAnsi="宋体" w:cs="宋体" w:hint="eastAsia"/>
          <w:color w:val="070707"/>
          <w:kern w:val="0"/>
          <w:szCs w:val="21"/>
        </w:rPr>
        <w:t>    </w:t>
      </w:r>
    </w:p>
    <w:p w:rsidR="00B12871" w:rsidRPr="00B12871" w:rsidRDefault="00B12871" w:rsidP="00B12871">
      <w:pPr>
        <w:widowControl/>
        <w:spacing w:line="390" w:lineRule="atLeast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各省、自治区、直辖市及计划单列市、副省级省会城市、新疆生产建设兵团大数据产业主管部门，各有关单位：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  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为进一步落实《国务院关于印发促进大数据发展行动纲要的通知》（国发〔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2015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〕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50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号）和《大数据产业发展规划（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2016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~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2020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年）》（工信部规〔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2016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〕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412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号），推进实施国家大数据战略，务实推动大数据技术、产业创新发展，我部将组织开展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2020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年大数据产业发展试点示范项目申报工作。现将有关事项通知如下：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  <w:r w:rsidRPr="00B12871"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一、支持方向</w:t>
      </w:r>
      <w:r w:rsidRPr="00B12871">
        <w:rPr>
          <w:rFonts w:ascii="Calibri" w:eastAsia="黑体" w:hAnsi="Calibri" w:cs="Calibri"/>
          <w:color w:val="070707"/>
          <w:kern w:val="0"/>
          <w:sz w:val="32"/>
          <w:szCs w:val="32"/>
        </w:rPr>
        <w:t> </w:t>
      </w:r>
    </w:p>
    <w:p w:rsid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围绕工业大数据融合应用、民生大数据创新应用、大数据关键技术先导应用、大数据管理能力提升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4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大类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7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个细分方向，遴选一批大数据产业发展试点示范项目，通过试点先行、示范引领，总结推广可复制的经验、做法，推进大数据产业健康有序发展。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(一）工业大数据融合应用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lastRenderedPageBreak/>
        <w:t>工业现场方向，支持企业打通设备、系统之间的数据壁垒，推动不同设备多源异构数据的互联互通、工业协议的相互转换等。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企业应用方向，推动大数据在工业企业的研发设计、生产制造、经营管理、销售服务等全流程融合应用，提高生产效率并降低生产成本，培育数据驱动的工业发展新模式。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重点行业方向，在能源、航空、钢铁、汽车、船舶、化工等重点行业大数据应用，提升行业专业化和集成化水平，助力制造业提质增效。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（二）民生大数据创新应用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在政务、医疗、环保、扶贫、教育、物流、智慧城市等领域应用创新，持续优化资源配置，提高社会服务质量，促进形成公平普惠、便捷高效的民生服务体系。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F34337" w:rsidRDefault="00B12871" w:rsidP="00F34337">
      <w:pPr>
        <w:widowControl/>
        <w:ind w:firstLineChars="200" w:firstLine="640"/>
        <w:jc w:val="left"/>
        <w:rPr>
          <w:rFonts w:ascii="仿宋" w:eastAsia="仿宋" w:hAnsi="仿宋" w:cs="宋体" w:hint="eastAsia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（三）大数据关键技术先导应用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企事业单位应用推广先进适用、安全可靠的大数据产品，带动大数据管理及计算分析、超大规模数据集群、多源异构一体化查询分析/多模引擎等关键技术创新应用。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（四）大数据管理能力提升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数据管理能力方向，鼓励基于《数据管理能力成熟度评估模型》（GB/T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36073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-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2018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，简称DCMM）等国家标准加强数据管理能力建设，推进数据管理能力成熟度贯标。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lastRenderedPageBreak/>
        <w:t>公共服务平台方向，鼓励大数据产业平台提供政策咨询、数据测试评估、数据开放、知识产权、投融资对接、创业孵化等公共服务，带动产业生态高质量发展。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F34337" w:rsidRDefault="00B12871" w:rsidP="00F34337">
      <w:pPr>
        <w:widowControl/>
        <w:ind w:firstLineChars="200" w:firstLine="640"/>
        <w:jc w:val="left"/>
        <w:rPr>
          <w:rFonts w:ascii="黑体" w:eastAsia="黑体" w:hAnsi="黑体" w:cs="宋体" w:hint="eastAsia"/>
          <w:color w:val="070707"/>
          <w:kern w:val="0"/>
          <w:sz w:val="32"/>
          <w:szCs w:val="32"/>
        </w:rPr>
      </w:pPr>
      <w:r w:rsidRPr="00B12871"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二、申报要求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（一）试点示范项目由各地大数据产业主管部门、中央企业集团等各有关单位（以下统称推荐单位）组织推荐。各省、自治区、直辖市及新疆生产建设兵团主管部门推荐项目数量不超过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个，各计划单列市、副省级省会城市主管部门推荐项目数量不超过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5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个，中央企业集团等各有关单位推荐数量不超过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3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个。鼓励推荐单位在政策、资金、资源配套等方面加大对入选项目的支持力度，推动试点示范项目在各地方、各行业的应用推广。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（二）项目申报主体包括从事及应用大数据采集、存储、加工、分析、服务、安全等相关业务的企业、科研院所和行业协会等单位。每个申报主体限申报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个项目，每个项目限申报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个方向。申报主体应遵守国家法律法规和各项规章制度，具有较强的经济实力、技术研发和融合创新能力。申报项目要求拥有自主知识产权、技术先进、应用示范带动作用良好，并具有一定的代表性。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（三）工业和信息化部将对申报项目进行评审，遴选认定符合要求的项目开展试点示范，试点示范期自公布起为期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年。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  <w:r w:rsidRPr="00B12871"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lastRenderedPageBreak/>
        <w:t>三、申报方式</w:t>
      </w:r>
      <w:r w:rsidRPr="00B12871">
        <w:rPr>
          <w:rFonts w:ascii="Calibri" w:eastAsia="黑体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本次申报通过网上填报，申报主体需在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11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月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22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日前登录“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2020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年大数据产业发展试点示范项目申报系统”（http://www.bdcases.org.cn）完成注册和申报信息填写。推荐单位需在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11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月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29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日前登录“申报系统”确认推荐项目。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推荐单位负责汇总加盖申报主体单位公章的全部项目申报书，并通过系统下载“报送信息汇总表”，于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12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月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6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日前将信息汇总表（一份，加盖单位公章）、项目申报书（每个项目一份）邮寄至联系地址。纸质版材料内容应与网上填报内容一致。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</w:p>
    <w:p w:rsidR="00F34337" w:rsidRDefault="00B12871" w:rsidP="00F34337">
      <w:pPr>
        <w:widowControl/>
        <w:ind w:firstLineChars="200" w:firstLine="640"/>
        <w:jc w:val="left"/>
        <w:rPr>
          <w:rFonts w:ascii="黑体" w:eastAsia="黑体" w:hAnsi="黑体" w:cs="宋体" w:hint="eastAsia"/>
          <w:color w:val="070707"/>
          <w:kern w:val="0"/>
          <w:sz w:val="32"/>
          <w:szCs w:val="32"/>
        </w:rPr>
      </w:pPr>
      <w:r w:rsidRPr="00B12871"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四、联系方式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联系人：李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玮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010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-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88692450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乔亚倩</w:t>
      </w: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010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-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88687355</w:t>
      </w:r>
    </w:p>
    <w:p w:rsidR="00B12871" w:rsidRP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联系邮箱：zhangyifu@miit.gov.cn</w:t>
      </w:r>
    </w:p>
    <w:p w:rsidR="00B12871" w:rsidRDefault="00B12871" w:rsidP="00F34337">
      <w:pPr>
        <w:widowControl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邮寄地址：北京市石景山区鲁谷路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35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号，</w:t>
      </w:r>
    </w:p>
    <w:p w:rsidR="00F34337" w:rsidRDefault="00B12871" w:rsidP="00F34337">
      <w:pPr>
        <w:widowControl/>
        <w:ind w:firstLineChars="200" w:firstLine="640"/>
        <w:jc w:val="left"/>
        <w:rPr>
          <w:rFonts w:ascii="仿宋" w:eastAsia="仿宋" w:hAnsi="仿宋" w:cs="宋体" w:hint="eastAsia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邮编：</w:t>
      </w:r>
      <w:r w:rsidRPr="00B12871">
        <w:rPr>
          <w:rFonts w:ascii="仿宋" w:eastAsia="仿宋" w:hAnsi="仿宋" w:cs="Times New Roman"/>
          <w:color w:val="070707"/>
          <w:kern w:val="0"/>
          <w:sz w:val="32"/>
          <w:szCs w:val="32"/>
        </w:rPr>
        <w:t>100040</w:t>
      </w:r>
    </w:p>
    <w:p w:rsidR="00B12871" w:rsidRPr="00B12871" w:rsidRDefault="00B12871" w:rsidP="00B12871">
      <w:pPr>
        <w:widowControl/>
        <w:spacing w:line="390" w:lineRule="atLeast"/>
        <w:ind w:firstLine="48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   </w:t>
      </w:r>
    </w:p>
    <w:p w:rsidR="00B12871" w:rsidRPr="00B12871" w:rsidRDefault="00B12871" w:rsidP="00B12871">
      <w:pPr>
        <w:widowControl/>
        <w:spacing w:line="390" w:lineRule="atLeast"/>
        <w:ind w:firstLine="48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附件：</w:t>
      </w:r>
      <w:r w:rsidRPr="00B12871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>2020年大数据产业发展试点示范项目申报书</w:t>
      </w:r>
    </w:p>
    <w:p w:rsidR="00B12871" w:rsidRDefault="00B12871" w:rsidP="00B12871">
      <w:pPr>
        <w:widowControl/>
        <w:spacing w:line="390" w:lineRule="atLeast"/>
        <w:ind w:firstLine="480"/>
        <w:jc w:val="left"/>
        <w:rPr>
          <w:rFonts w:ascii="Calibri" w:eastAsia="仿宋" w:hAnsi="Calibri" w:cs="Calibri"/>
          <w:color w:val="070707"/>
          <w:kern w:val="0"/>
          <w:sz w:val="32"/>
          <w:szCs w:val="32"/>
        </w:rPr>
      </w:pPr>
      <w:r w:rsidRPr="00B12871">
        <w:rPr>
          <w:rFonts w:ascii="Calibri" w:eastAsia="仿宋" w:hAnsi="Calibri" w:cs="Calibri"/>
          <w:color w:val="070707"/>
          <w:kern w:val="0"/>
          <w:sz w:val="32"/>
          <w:szCs w:val="32"/>
        </w:rPr>
        <w:t>  </w:t>
      </w:r>
    </w:p>
    <w:p w:rsidR="00B12871" w:rsidRPr="00B12871" w:rsidRDefault="00B12871" w:rsidP="00B12871">
      <w:pPr>
        <w:widowControl/>
        <w:spacing w:line="390" w:lineRule="atLeast"/>
        <w:ind w:firstLine="48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</w:p>
    <w:p w:rsidR="00F34337" w:rsidRDefault="00B12871" w:rsidP="00B12871">
      <w:pPr>
        <w:jc w:val="right"/>
        <w:rPr>
          <w:rFonts w:ascii="仿宋" w:eastAsia="仿宋" w:hAnsi="仿宋" w:cs="宋体" w:hint="eastAsia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工业和信息化部办公厅</w:t>
      </w:r>
    </w:p>
    <w:p w:rsidR="00CA2CD4" w:rsidRPr="00B12871" w:rsidRDefault="00B12871" w:rsidP="00B12871">
      <w:pPr>
        <w:jc w:val="righ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B12871">
        <w:rPr>
          <w:rFonts w:ascii="仿宋" w:eastAsia="仿宋" w:hAnsi="仿宋" w:cs="宋体"/>
          <w:color w:val="070707"/>
          <w:kern w:val="0"/>
          <w:sz w:val="32"/>
          <w:szCs w:val="32"/>
        </w:rPr>
        <w:t>2019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年</w:t>
      </w:r>
      <w:r w:rsidRPr="00B12871">
        <w:rPr>
          <w:rFonts w:ascii="仿宋" w:eastAsia="仿宋" w:hAnsi="仿宋" w:cs="宋体"/>
          <w:color w:val="070707"/>
          <w:kern w:val="0"/>
          <w:sz w:val="32"/>
          <w:szCs w:val="32"/>
        </w:rPr>
        <w:t>11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月</w:t>
      </w:r>
      <w:r w:rsidRPr="00B12871">
        <w:rPr>
          <w:rFonts w:ascii="仿宋" w:eastAsia="仿宋" w:hAnsi="仿宋" w:cs="宋体"/>
          <w:color w:val="070707"/>
          <w:kern w:val="0"/>
          <w:sz w:val="32"/>
          <w:szCs w:val="32"/>
        </w:rPr>
        <w:t>6</w:t>
      </w:r>
      <w:r w:rsidRPr="00B12871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日</w:t>
      </w:r>
    </w:p>
    <w:sectPr w:rsidR="00CA2CD4" w:rsidRPr="00B12871" w:rsidSect="00CB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A3" w:rsidRDefault="007C38A3" w:rsidP="00F34337">
      <w:r>
        <w:separator/>
      </w:r>
    </w:p>
  </w:endnote>
  <w:endnote w:type="continuationSeparator" w:id="1">
    <w:p w:rsidR="007C38A3" w:rsidRDefault="007C38A3" w:rsidP="00F3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A3" w:rsidRDefault="007C38A3" w:rsidP="00F34337">
      <w:r>
        <w:separator/>
      </w:r>
    </w:p>
  </w:footnote>
  <w:footnote w:type="continuationSeparator" w:id="1">
    <w:p w:rsidR="007C38A3" w:rsidRDefault="007C38A3" w:rsidP="00F3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871"/>
    <w:rsid w:val="007C38A3"/>
    <w:rsid w:val="00B12871"/>
    <w:rsid w:val="00CA2CD4"/>
    <w:rsid w:val="00CB334E"/>
    <w:rsid w:val="00F3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28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287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2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2871"/>
    <w:rPr>
      <w:b/>
      <w:bCs/>
    </w:rPr>
  </w:style>
  <w:style w:type="character" w:styleId="a5">
    <w:name w:val="Hyperlink"/>
    <w:basedOn w:val="a0"/>
    <w:uiPriority w:val="99"/>
    <w:semiHidden/>
    <w:unhideWhenUsed/>
    <w:rsid w:val="00B1287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3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3433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3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34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265</Words>
  <Characters>1512</Characters>
  <Application>Microsoft Office Word</Application>
  <DocSecurity>0</DocSecurity>
  <Lines>12</Lines>
  <Paragraphs>3</Paragraphs>
  <ScaleCrop>false</ScaleCrop>
  <Company>China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qy</cp:lastModifiedBy>
  <cp:revision>2</cp:revision>
  <dcterms:created xsi:type="dcterms:W3CDTF">2019-11-19T12:27:00Z</dcterms:created>
  <dcterms:modified xsi:type="dcterms:W3CDTF">2019-11-19T12:40:00Z</dcterms:modified>
</cp:coreProperties>
</file>